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4012" w:rsidRPr="005F4012" w:rsidRDefault="005F4012" w:rsidP="005F4012">
      <w:pPr>
        <w:spacing w:after="0" w:line="240" w:lineRule="auto"/>
        <w:rPr>
          <w:rFonts w:eastAsia="Times New Roman" w:cstheme="minorHAnsi"/>
          <w:sz w:val="24"/>
          <w:szCs w:val="24"/>
          <w:lang w:eastAsia="de-DE"/>
        </w:rPr>
      </w:pPr>
      <w:r w:rsidRPr="005F4012">
        <w:rPr>
          <w:rFonts w:eastAsia="Times New Roman" w:cstheme="minorHAnsi"/>
          <w:sz w:val="24"/>
          <w:szCs w:val="24"/>
          <w:lang w:eastAsia="de-DE"/>
        </w:rPr>
        <w:t xml:space="preserve">Pressemitteilung </w:t>
      </w:r>
    </w:p>
    <w:p w:rsidR="005F4012" w:rsidRPr="005F4012" w:rsidRDefault="005F4012" w:rsidP="005F4012">
      <w:pPr>
        <w:spacing w:before="100" w:beforeAutospacing="1" w:after="100" w:afterAutospacing="1" w:line="240" w:lineRule="auto"/>
        <w:outlineLvl w:val="0"/>
        <w:rPr>
          <w:rFonts w:eastAsia="Times New Roman" w:cstheme="minorHAnsi"/>
          <w:b/>
          <w:bCs/>
          <w:kern w:val="36"/>
          <w:sz w:val="48"/>
          <w:szCs w:val="48"/>
          <w:lang w:eastAsia="de-DE"/>
        </w:rPr>
      </w:pPr>
      <w:r w:rsidRPr="005F4012">
        <w:rPr>
          <w:rFonts w:eastAsia="Times New Roman" w:cstheme="minorHAnsi"/>
          <w:b/>
          <w:bCs/>
          <w:kern w:val="36"/>
          <w:sz w:val="48"/>
          <w:szCs w:val="48"/>
          <w:lang w:eastAsia="de-DE"/>
        </w:rPr>
        <w:t xml:space="preserve">Wie will ich übermorgen leben? Toolbox für </w:t>
      </w:r>
      <w:proofErr w:type="spellStart"/>
      <w:r w:rsidRPr="005F4012">
        <w:rPr>
          <w:rFonts w:eastAsia="Times New Roman" w:cstheme="minorHAnsi"/>
          <w:b/>
          <w:bCs/>
          <w:kern w:val="36"/>
          <w:sz w:val="48"/>
          <w:szCs w:val="48"/>
          <w:lang w:eastAsia="de-DE"/>
        </w:rPr>
        <w:t>Xtopien</w:t>
      </w:r>
      <w:proofErr w:type="spellEnd"/>
      <w:r w:rsidRPr="005F4012">
        <w:rPr>
          <w:rFonts w:eastAsia="Times New Roman" w:cstheme="minorHAnsi"/>
          <w:b/>
          <w:bCs/>
          <w:kern w:val="36"/>
          <w:sz w:val="48"/>
          <w:szCs w:val="48"/>
          <w:lang w:eastAsia="de-DE"/>
        </w:rPr>
        <w:t xml:space="preserve"> animiert zu aktiver Zukunftsgestaltung </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 xml:space="preserve">Wie man über mögliche </w:t>
      </w:r>
      <w:proofErr w:type="spellStart"/>
      <w:r w:rsidRPr="005F4012">
        <w:rPr>
          <w:rFonts w:eastAsia="Times New Roman" w:cstheme="minorHAnsi"/>
          <w:sz w:val="24"/>
          <w:szCs w:val="24"/>
          <w:lang w:eastAsia="de-DE"/>
        </w:rPr>
        <w:t>Zukünfte</w:t>
      </w:r>
      <w:proofErr w:type="spellEnd"/>
      <w:r w:rsidRPr="005F4012">
        <w:rPr>
          <w:rFonts w:eastAsia="Times New Roman" w:cstheme="minorHAnsi"/>
          <w:sz w:val="24"/>
          <w:szCs w:val="24"/>
          <w:lang w:eastAsia="de-DE"/>
        </w:rPr>
        <w:t xml:space="preserve"> nachdenken und dabei entstandene Ideen für die Zukunftsgestaltung kreativ nutzen kann, zeigt die „Toolbox für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mit praxisnahen Anleitungen. Der für viele Einsatzbereiche geeignete Instrume</w:t>
      </w:r>
      <w:r w:rsidR="00AA27C2">
        <w:rPr>
          <w:rFonts w:eastAsia="Times New Roman" w:cstheme="minorHAnsi"/>
          <w:sz w:val="24"/>
          <w:szCs w:val="24"/>
          <w:lang w:eastAsia="de-DE"/>
        </w:rPr>
        <w:t>ntenkoffer wurde von einem trans</w:t>
      </w:r>
      <w:r w:rsidRPr="005F4012">
        <w:rPr>
          <w:rFonts w:eastAsia="Times New Roman" w:cstheme="minorHAnsi"/>
          <w:sz w:val="24"/>
          <w:szCs w:val="24"/>
          <w:lang w:eastAsia="de-DE"/>
        </w:rPr>
        <w:t>disziplinären Forschungsteam entwickelt.</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i/>
          <w:iCs/>
          <w:sz w:val="24"/>
          <w:szCs w:val="24"/>
          <w:lang w:eastAsia="de-DE"/>
        </w:rPr>
        <w:t>Berlin/Kassel/Karlsruhe</w:t>
      </w:r>
      <w:r w:rsidRPr="005F4012">
        <w:rPr>
          <w:rFonts w:eastAsia="Times New Roman" w:cstheme="minorHAnsi"/>
          <w:sz w:val="24"/>
          <w:szCs w:val="24"/>
          <w:lang w:eastAsia="de-DE"/>
        </w:rPr>
        <w:t>. Wie können wir mit unseren Zukunftsherausforderungen umgehen? Welche Ideen und Methoden können bei der Ideenentwicklung helfen? Aus positiven, negativen und ambivalenten Vorstellungen lassen sich innovative und erlebnisorientierte Zukunftsvisionen entwickeln. Diese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gilt es sicht- und nutzbar zu machen. </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 xml:space="preserve">Die „Toolbox für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ist ein Ergebnis des Forschungsprojekts „Urbane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 Freiräume der Zukunft“, an dem die Universität Kassel, das Deutsche Institut für Urbanistik, das Karlsruher Institut für Technologie, die Westfälische Hochschule sowie Freiberufler*innen beteiligt waren. In dem von der Robert Bosch Stiftung geförderten Projekt hat das Forschungsteam die „</w:t>
      </w:r>
      <w:proofErr w:type="spellStart"/>
      <w:r w:rsidRPr="005F4012">
        <w:rPr>
          <w:rFonts w:eastAsia="Times New Roman" w:cstheme="minorHAnsi"/>
          <w:sz w:val="24"/>
          <w:szCs w:val="24"/>
          <w:lang w:eastAsia="de-DE"/>
        </w:rPr>
        <w:t>Xtopie</w:t>
      </w:r>
      <w:proofErr w:type="spellEnd"/>
      <w:r w:rsidRPr="005F4012">
        <w:rPr>
          <w:rFonts w:eastAsia="Times New Roman" w:cstheme="minorHAnsi"/>
          <w:sz w:val="24"/>
          <w:szCs w:val="24"/>
          <w:lang w:eastAsia="de-DE"/>
        </w:rPr>
        <w:t xml:space="preserve">“ als Konzept für die Zukunftsgestaltung entwickelt und deutschlandweit in der Praxis erprobt.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ermöglichen die Reflektion über Zukunftsvorstellungen und laden Menschen aus unterschiedlichen gesellschaftlichen Gruppen dazu ein, eigene neue Visionen für eine wünschenswerte Zukunft zu formulieren. Im besten Fall motivieren sie dazu, zukünftige Veränderungen im Sinne der notwendigen Transformation hin zu mehr Nachhaltigkeit aktiv mitzugestalten.</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 xml:space="preserve">„Ziel der von unserem Forschungsteam entwickelten Toolbox für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ist es, Menschen zu ermöglichen, auf spielerische Art neue, eigene Zukunftsvisionen zu entwickeln, sich mit anderen auszutauschen und die eigenen Visionen kritisch zu reflektieren“, so Nachhaltigkeitswissenschaftlerin und Co-Projektleiterin Dr. Jasmin Jossin. Thematisch fokussierte sich das Projektteam vor allem auf zukünftige Mensch-Natur-Beziehungen, die Zukunft der Arbeit und Visionen zum vorbereitenden Umgang mit dem Tod. Die Toolbox steht kostenfrei als PDF zur Verfügung. Die Toolbox eignet sich auch für andere Zukunftsthemen und richtet sich vorrangig an Bildungsakteure, Kulturschaffende, Aktivist*innen, Personalentwickler*innen und Förderer; aber auch für privat Interessierte kann die Nutzung spannend sein.</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 xml:space="preserve">Die Toolbox besteht aus einer einführenden Publikation, die Leser*innen zunächst ins `xtopische Denken´ einführt und einige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beispielhaft vorstellt. Mit einer Schritt-für-Schritt-Anleitung und Checklisten lädt sie Zukunftsgestalter*innen praxisnah dazu ein, eigene </w:t>
      </w:r>
      <w:proofErr w:type="spellStart"/>
      <w:r w:rsidRPr="005F4012">
        <w:rPr>
          <w:rFonts w:eastAsia="Times New Roman" w:cstheme="minorHAnsi"/>
          <w:sz w:val="24"/>
          <w:szCs w:val="24"/>
          <w:lang w:eastAsia="de-DE"/>
        </w:rPr>
        <w:t>Xtopien</w:t>
      </w:r>
      <w:proofErr w:type="spellEnd"/>
      <w:r w:rsidRPr="005F4012">
        <w:rPr>
          <w:rFonts w:eastAsia="Times New Roman" w:cstheme="minorHAnsi"/>
          <w:sz w:val="24"/>
          <w:szCs w:val="24"/>
          <w:lang w:eastAsia="de-DE"/>
        </w:rPr>
        <w:t xml:space="preserve"> zu entwickeln. Dazu hat das Forschungsteam acht Tools entwickelt, die auch als methodische Elemente in einem Gruppenprozess genutzt werden können – beispielsweise in Bildungskontexten, kulturellen Veranstaltungen oder in der Persönlichkeitsentwicklung. Fünf der acht Tools können auch von Einzelpersonen oder Familien in Eigenregie ausprobiert werden. </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lastRenderedPageBreak/>
        <w:t>Beispiel-Tools aus der Toolbox:</w:t>
      </w:r>
    </w:p>
    <w:p w:rsidR="005F4012" w:rsidRPr="005F4012" w:rsidRDefault="005F4012" w:rsidP="005F4012">
      <w:pPr>
        <w:numPr>
          <w:ilvl w:val="0"/>
          <w:numId w:val="1"/>
        </w:num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b/>
          <w:bCs/>
          <w:sz w:val="24"/>
          <w:szCs w:val="24"/>
          <w:lang w:eastAsia="de-DE"/>
        </w:rPr>
        <w:t>Gedankenreise in die Zukunft</w:t>
      </w:r>
      <w:r w:rsidRPr="005F4012">
        <w:rPr>
          <w:rFonts w:eastAsia="Times New Roman" w:cstheme="minorHAnsi"/>
          <w:sz w:val="24"/>
          <w:szCs w:val="24"/>
          <w:lang w:eastAsia="de-DE"/>
        </w:rPr>
        <w:t>:</w:t>
      </w:r>
      <w:r w:rsidRPr="005F4012">
        <w:rPr>
          <w:rFonts w:eastAsia="Times New Roman" w:cstheme="minorHAnsi"/>
          <w:sz w:val="24"/>
          <w:szCs w:val="24"/>
          <w:lang w:eastAsia="de-DE"/>
        </w:rPr>
        <w:br/>
        <w:t>Eine geleitete Meditation als Audio-Datei lässt eigene Bilder und Visionen zur städtischen Zukunft bewusstwerden.</w:t>
      </w:r>
    </w:p>
    <w:p w:rsidR="005F4012" w:rsidRPr="005F4012" w:rsidRDefault="005F4012" w:rsidP="005F4012">
      <w:pPr>
        <w:numPr>
          <w:ilvl w:val="0"/>
          <w:numId w:val="1"/>
        </w:numPr>
        <w:spacing w:before="100" w:beforeAutospacing="1" w:after="100" w:afterAutospacing="1" w:line="240" w:lineRule="auto"/>
        <w:rPr>
          <w:rFonts w:eastAsia="Times New Roman" w:cstheme="minorHAnsi"/>
          <w:sz w:val="24"/>
          <w:szCs w:val="24"/>
          <w:lang w:eastAsia="de-DE"/>
        </w:rPr>
      </w:pPr>
      <w:proofErr w:type="spellStart"/>
      <w:r w:rsidRPr="005F4012">
        <w:rPr>
          <w:rFonts w:eastAsia="Times New Roman" w:cstheme="minorHAnsi"/>
          <w:b/>
          <w:bCs/>
          <w:sz w:val="24"/>
          <w:szCs w:val="24"/>
          <w:lang w:eastAsia="de-DE"/>
        </w:rPr>
        <w:t>PerspekTIERwechsel</w:t>
      </w:r>
      <w:proofErr w:type="spellEnd"/>
      <w:r w:rsidRPr="005F4012">
        <w:rPr>
          <w:rFonts w:eastAsia="Times New Roman" w:cstheme="minorHAnsi"/>
          <w:b/>
          <w:bCs/>
          <w:sz w:val="24"/>
          <w:szCs w:val="24"/>
          <w:lang w:eastAsia="de-DE"/>
        </w:rPr>
        <w:t>:</w:t>
      </w:r>
      <w:r w:rsidRPr="005F4012">
        <w:rPr>
          <w:rFonts w:eastAsia="Times New Roman" w:cstheme="minorHAnsi"/>
          <w:sz w:val="24"/>
          <w:szCs w:val="24"/>
          <w:lang w:eastAsia="de-DE"/>
        </w:rPr>
        <w:t> </w:t>
      </w:r>
      <w:r w:rsidRPr="005F4012">
        <w:rPr>
          <w:rFonts w:eastAsia="Times New Roman" w:cstheme="minorHAnsi"/>
          <w:sz w:val="24"/>
          <w:szCs w:val="24"/>
          <w:lang w:eastAsia="de-DE"/>
        </w:rPr>
        <w:br/>
        <w:t>Rollenkarten führen in die Perspektive eines freilebenden Tieres ein und erweitern damit die eigene Wahrnehmung der städtischen Umgebung.</w:t>
      </w:r>
    </w:p>
    <w:p w:rsidR="005F4012" w:rsidRPr="005F4012" w:rsidRDefault="005F4012" w:rsidP="005F4012">
      <w:pPr>
        <w:numPr>
          <w:ilvl w:val="0"/>
          <w:numId w:val="1"/>
        </w:num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b/>
          <w:bCs/>
          <w:sz w:val="24"/>
          <w:szCs w:val="24"/>
          <w:lang w:eastAsia="de-DE"/>
        </w:rPr>
        <w:t>Spielraum-</w:t>
      </w:r>
      <w:proofErr w:type="spellStart"/>
      <w:r w:rsidRPr="005F4012">
        <w:rPr>
          <w:rFonts w:eastAsia="Times New Roman" w:cstheme="minorHAnsi"/>
          <w:b/>
          <w:bCs/>
          <w:sz w:val="24"/>
          <w:szCs w:val="24"/>
          <w:lang w:eastAsia="de-DE"/>
        </w:rPr>
        <w:t>Xperiment</w:t>
      </w:r>
      <w:proofErr w:type="spellEnd"/>
      <w:r w:rsidRPr="005F4012">
        <w:rPr>
          <w:rFonts w:eastAsia="Times New Roman" w:cstheme="minorHAnsi"/>
          <w:sz w:val="24"/>
          <w:szCs w:val="24"/>
          <w:lang w:eastAsia="de-DE"/>
        </w:rPr>
        <w:t>: </w:t>
      </w:r>
      <w:r w:rsidRPr="005F4012">
        <w:rPr>
          <w:rFonts w:eastAsia="Times New Roman" w:cstheme="minorHAnsi"/>
          <w:sz w:val="24"/>
          <w:szCs w:val="24"/>
          <w:lang w:eastAsia="de-DE"/>
        </w:rPr>
        <w:br/>
        <w:t>Eine Anregung dazu, eine persönliche Freiraum-Utopie zu entwickeln und diese im Anschluss zu reflektieren. </w:t>
      </w:r>
    </w:p>
    <w:p w:rsidR="005F4012" w:rsidRPr="005F4012" w:rsidRDefault="005F4012" w:rsidP="005F4012">
      <w:pPr>
        <w:numPr>
          <w:ilvl w:val="0"/>
          <w:numId w:val="1"/>
        </w:numPr>
        <w:spacing w:before="100" w:beforeAutospacing="1" w:after="100" w:afterAutospacing="1" w:line="240" w:lineRule="auto"/>
        <w:rPr>
          <w:rFonts w:eastAsia="Times New Roman" w:cstheme="minorHAnsi"/>
          <w:sz w:val="24"/>
          <w:szCs w:val="24"/>
          <w:lang w:eastAsia="de-DE"/>
        </w:rPr>
      </w:pPr>
      <w:proofErr w:type="spellStart"/>
      <w:r w:rsidRPr="005F4012">
        <w:rPr>
          <w:rFonts w:eastAsia="Times New Roman" w:cstheme="minorHAnsi"/>
          <w:b/>
          <w:bCs/>
          <w:sz w:val="24"/>
          <w:szCs w:val="24"/>
          <w:lang w:eastAsia="de-DE"/>
        </w:rPr>
        <w:t>Cohabitat</w:t>
      </w:r>
      <w:proofErr w:type="spellEnd"/>
      <w:r w:rsidRPr="005F4012">
        <w:rPr>
          <w:rFonts w:eastAsia="Times New Roman" w:cstheme="minorHAnsi"/>
          <w:b/>
          <w:bCs/>
          <w:sz w:val="24"/>
          <w:szCs w:val="24"/>
          <w:lang w:eastAsia="de-DE"/>
        </w:rPr>
        <w:t>:</w:t>
      </w:r>
      <w:r w:rsidRPr="005F4012">
        <w:rPr>
          <w:rFonts w:eastAsia="Times New Roman" w:cstheme="minorHAnsi"/>
          <w:sz w:val="24"/>
          <w:szCs w:val="24"/>
          <w:lang w:eastAsia="de-DE"/>
        </w:rPr>
        <w:t> </w:t>
      </w:r>
      <w:r w:rsidRPr="005F4012">
        <w:rPr>
          <w:rFonts w:eastAsia="Times New Roman" w:cstheme="minorHAnsi"/>
          <w:sz w:val="24"/>
          <w:szCs w:val="24"/>
          <w:lang w:eastAsia="de-DE"/>
        </w:rPr>
        <w:br/>
        <w:t>Ein Rätsel- und Rollenspiel für Gruppen ab 4 Personen offenbart aktuelle Mensch-Natur-Konflikte und regt zu Ideen für zukünftige Formen des Zusammenlebens an.</w:t>
      </w:r>
    </w:p>
    <w:p w:rsidR="005F4012" w:rsidRPr="005F4012" w:rsidRDefault="005F4012" w:rsidP="005F4012">
      <w:pPr>
        <w:numPr>
          <w:ilvl w:val="0"/>
          <w:numId w:val="1"/>
        </w:num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b/>
          <w:bCs/>
          <w:sz w:val="24"/>
          <w:szCs w:val="24"/>
          <w:lang w:eastAsia="de-DE"/>
        </w:rPr>
        <w:t xml:space="preserve">Der digitale </w:t>
      </w:r>
      <w:proofErr w:type="spellStart"/>
      <w:r w:rsidRPr="005F4012">
        <w:rPr>
          <w:rFonts w:eastAsia="Times New Roman" w:cstheme="minorHAnsi"/>
          <w:b/>
          <w:bCs/>
          <w:sz w:val="24"/>
          <w:szCs w:val="24"/>
          <w:lang w:eastAsia="de-DE"/>
        </w:rPr>
        <w:t>Todomat</w:t>
      </w:r>
      <w:proofErr w:type="spellEnd"/>
      <w:r w:rsidRPr="005F4012">
        <w:rPr>
          <w:rFonts w:eastAsia="Times New Roman" w:cstheme="minorHAnsi"/>
          <w:sz w:val="24"/>
          <w:szCs w:val="24"/>
          <w:lang w:eastAsia="de-DE"/>
        </w:rPr>
        <w:t>: </w:t>
      </w:r>
      <w:r w:rsidRPr="005F4012">
        <w:rPr>
          <w:rFonts w:eastAsia="Times New Roman" w:cstheme="minorHAnsi"/>
          <w:sz w:val="24"/>
          <w:szCs w:val="24"/>
          <w:lang w:eastAsia="de-DE"/>
        </w:rPr>
        <w:br/>
        <w:t xml:space="preserve">Ein </w:t>
      </w:r>
      <w:proofErr w:type="spellStart"/>
      <w:r w:rsidRPr="005F4012">
        <w:rPr>
          <w:rFonts w:eastAsia="Times New Roman" w:cstheme="minorHAnsi"/>
          <w:sz w:val="24"/>
          <w:szCs w:val="24"/>
          <w:lang w:eastAsia="de-DE"/>
        </w:rPr>
        <w:t>Hinterlassenschaftskonfigurator</w:t>
      </w:r>
      <w:proofErr w:type="spellEnd"/>
      <w:r w:rsidRPr="005F4012">
        <w:rPr>
          <w:rFonts w:eastAsia="Times New Roman" w:cstheme="minorHAnsi"/>
          <w:sz w:val="24"/>
          <w:szCs w:val="24"/>
          <w:lang w:eastAsia="de-DE"/>
        </w:rPr>
        <w:t xml:space="preserve">, der seinen Nutzer*innen </w:t>
      </w:r>
      <w:proofErr w:type="spellStart"/>
      <w:r w:rsidRPr="005F4012">
        <w:rPr>
          <w:rFonts w:eastAsia="Times New Roman" w:cstheme="minorHAnsi"/>
          <w:sz w:val="24"/>
          <w:szCs w:val="24"/>
          <w:lang w:eastAsia="de-DE"/>
        </w:rPr>
        <w:t>To</w:t>
      </w:r>
      <w:proofErr w:type="spellEnd"/>
      <w:r w:rsidRPr="005F4012">
        <w:rPr>
          <w:rFonts w:eastAsia="Times New Roman" w:cstheme="minorHAnsi"/>
          <w:sz w:val="24"/>
          <w:szCs w:val="24"/>
          <w:lang w:eastAsia="de-DE"/>
        </w:rPr>
        <w:t>-dos empfiehlt, um ihren Tod in einer unbestimmten Zukunft vorzubereiten – mit heute realen und fiktiven Wahlmöglichkeiten.</w:t>
      </w:r>
    </w:p>
    <w:p w:rsidR="005F4012" w:rsidRP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Drei weitere Tools sind inhaltsoffen, erfordern umfangreichere Vorbereitungen und entfalten ihr Potenzial in einem geleiteten Gruppenprozess:</w:t>
      </w:r>
    </w:p>
    <w:p w:rsidR="005F4012" w:rsidRPr="005F4012" w:rsidRDefault="005F4012" w:rsidP="005F4012">
      <w:pPr>
        <w:numPr>
          <w:ilvl w:val="0"/>
          <w:numId w:val="2"/>
        </w:num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b/>
          <w:bCs/>
          <w:sz w:val="24"/>
          <w:szCs w:val="24"/>
          <w:lang w:eastAsia="de-DE"/>
        </w:rPr>
        <w:t xml:space="preserve">Moodboards als </w:t>
      </w:r>
      <w:proofErr w:type="spellStart"/>
      <w:r w:rsidRPr="005F4012">
        <w:rPr>
          <w:rFonts w:eastAsia="Times New Roman" w:cstheme="minorHAnsi"/>
          <w:b/>
          <w:bCs/>
          <w:sz w:val="24"/>
          <w:szCs w:val="24"/>
          <w:lang w:eastAsia="de-DE"/>
        </w:rPr>
        <w:t>Türöffner</w:t>
      </w:r>
      <w:proofErr w:type="spellEnd"/>
      <w:r w:rsidRPr="005F4012">
        <w:rPr>
          <w:rFonts w:eastAsia="Times New Roman" w:cstheme="minorHAnsi"/>
          <w:sz w:val="24"/>
          <w:szCs w:val="24"/>
          <w:lang w:eastAsia="de-DE"/>
        </w:rPr>
        <w:t>: </w:t>
      </w:r>
      <w:r w:rsidRPr="005F4012">
        <w:rPr>
          <w:rFonts w:eastAsia="Times New Roman" w:cstheme="minorHAnsi"/>
          <w:sz w:val="24"/>
          <w:szCs w:val="24"/>
          <w:lang w:eastAsia="de-DE"/>
        </w:rPr>
        <w:br/>
        <w:t>Eine Anleitung, wie mit großformatigen Collagen aus Fotos, Bildern und Grafiken das Nachdenken über Zukünfte angeregt werden kann.</w:t>
      </w:r>
    </w:p>
    <w:p w:rsidR="005F4012" w:rsidRPr="005F4012" w:rsidRDefault="005F4012" w:rsidP="005F4012">
      <w:pPr>
        <w:numPr>
          <w:ilvl w:val="0"/>
          <w:numId w:val="2"/>
        </w:num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b/>
          <w:bCs/>
          <w:sz w:val="24"/>
          <w:szCs w:val="24"/>
          <w:lang w:eastAsia="de-DE"/>
        </w:rPr>
        <w:t>Installation zum vernetzten Denken</w:t>
      </w:r>
      <w:r w:rsidRPr="005F4012">
        <w:rPr>
          <w:rFonts w:eastAsia="Times New Roman" w:cstheme="minorHAnsi"/>
          <w:sz w:val="24"/>
          <w:szCs w:val="24"/>
          <w:lang w:eastAsia="de-DE"/>
        </w:rPr>
        <w:t>: </w:t>
      </w:r>
      <w:r w:rsidRPr="005F4012">
        <w:rPr>
          <w:rFonts w:eastAsia="Times New Roman" w:cstheme="minorHAnsi"/>
          <w:sz w:val="24"/>
          <w:szCs w:val="24"/>
          <w:lang w:eastAsia="de-DE"/>
        </w:rPr>
        <w:br/>
        <w:t>Eine dreidimensionale Installation im Raum, die hilft, Zusammenhänge von zwei vielschichtigen Zukunftsthemen aufzuspüren.</w:t>
      </w:r>
    </w:p>
    <w:p w:rsidR="005F4012" w:rsidRPr="005F4012" w:rsidRDefault="005F4012" w:rsidP="005F4012">
      <w:pPr>
        <w:numPr>
          <w:ilvl w:val="0"/>
          <w:numId w:val="2"/>
        </w:numPr>
        <w:spacing w:before="100" w:beforeAutospacing="1" w:after="100" w:afterAutospacing="1" w:line="240" w:lineRule="auto"/>
        <w:rPr>
          <w:rFonts w:eastAsia="Times New Roman" w:cstheme="minorHAnsi"/>
          <w:sz w:val="24"/>
          <w:szCs w:val="24"/>
          <w:lang w:eastAsia="de-DE"/>
        </w:rPr>
      </w:pPr>
      <w:proofErr w:type="spellStart"/>
      <w:r w:rsidRPr="005F4012">
        <w:rPr>
          <w:rFonts w:eastAsia="Times New Roman" w:cstheme="minorHAnsi"/>
          <w:b/>
          <w:bCs/>
          <w:sz w:val="24"/>
          <w:szCs w:val="24"/>
          <w:lang w:eastAsia="de-DE"/>
        </w:rPr>
        <w:t>Xtopisches</w:t>
      </w:r>
      <w:proofErr w:type="spellEnd"/>
      <w:r w:rsidRPr="005F4012">
        <w:rPr>
          <w:rFonts w:eastAsia="Times New Roman" w:cstheme="minorHAnsi"/>
          <w:b/>
          <w:bCs/>
          <w:sz w:val="24"/>
          <w:szCs w:val="24"/>
          <w:lang w:eastAsia="de-DE"/>
        </w:rPr>
        <w:t xml:space="preserve"> Zirkeltraining</w:t>
      </w:r>
      <w:r w:rsidRPr="005F4012">
        <w:rPr>
          <w:rFonts w:eastAsia="Times New Roman" w:cstheme="minorHAnsi"/>
          <w:sz w:val="24"/>
          <w:szCs w:val="24"/>
          <w:lang w:eastAsia="de-DE"/>
        </w:rPr>
        <w:t>:</w:t>
      </w:r>
      <w:r w:rsidRPr="005F4012">
        <w:rPr>
          <w:rFonts w:eastAsia="Times New Roman" w:cstheme="minorHAnsi"/>
          <w:sz w:val="24"/>
          <w:szCs w:val="24"/>
          <w:lang w:eastAsia="de-DE"/>
        </w:rPr>
        <w:br/>
        <w:t xml:space="preserve">Das Konzept für ein interaktives Format mit mehreren Stationen, das Entwickler*innen wie Besucher*innen gedankenexperimentell </w:t>
      </w:r>
      <w:proofErr w:type="spellStart"/>
      <w:r w:rsidRPr="005F4012">
        <w:rPr>
          <w:rFonts w:eastAsia="Times New Roman" w:cstheme="minorHAnsi"/>
          <w:sz w:val="24"/>
          <w:szCs w:val="24"/>
          <w:lang w:eastAsia="de-DE"/>
        </w:rPr>
        <w:t>für</w:t>
      </w:r>
      <w:proofErr w:type="spellEnd"/>
      <w:r w:rsidRPr="005F4012">
        <w:rPr>
          <w:rFonts w:eastAsia="Times New Roman" w:cstheme="minorHAnsi"/>
          <w:sz w:val="24"/>
          <w:szCs w:val="24"/>
          <w:lang w:eastAsia="de-DE"/>
        </w:rPr>
        <w:t xml:space="preserve"> die Zukunft trainiert.</w:t>
      </w:r>
    </w:p>
    <w:p w:rsidR="005F4012" w:rsidRDefault="005F4012" w:rsidP="005F4012">
      <w:pPr>
        <w:spacing w:before="100" w:beforeAutospacing="1" w:after="100" w:afterAutospacing="1" w:line="240" w:lineRule="auto"/>
        <w:rPr>
          <w:rFonts w:eastAsia="Times New Roman" w:cstheme="minorHAnsi"/>
          <w:sz w:val="24"/>
          <w:szCs w:val="24"/>
          <w:lang w:eastAsia="de-DE"/>
        </w:rPr>
      </w:pPr>
      <w:r w:rsidRPr="005F4012">
        <w:rPr>
          <w:rFonts w:eastAsia="Times New Roman" w:cstheme="minorHAnsi"/>
          <w:sz w:val="24"/>
          <w:szCs w:val="24"/>
          <w:lang w:eastAsia="de-DE"/>
        </w:rPr>
        <w:t>Die Tools bestehen jeweils aus einem Kurzprofil, das sich vor allem an Gruppenleiter*innen richtet, sowie einer Anleitung und Download-Material oder anschaulichen Praxisbeispielen. Die Toolbox und weitere Materialien stehen kostenfrei zum Download zur Verfügung.</w:t>
      </w:r>
    </w:p>
    <w:p w:rsidR="0030392D" w:rsidRPr="005F4012" w:rsidRDefault="0030392D" w:rsidP="005F4012">
      <w:pPr>
        <w:spacing w:before="100" w:beforeAutospacing="1" w:after="100" w:afterAutospacing="1" w:line="240" w:lineRule="auto"/>
        <w:rPr>
          <w:rFonts w:eastAsia="Times New Roman" w:cstheme="minorHAnsi"/>
          <w:sz w:val="24"/>
          <w:szCs w:val="24"/>
          <w:lang w:eastAsia="de-DE"/>
        </w:rPr>
      </w:pPr>
    </w:p>
    <w:p w:rsidR="0030392D" w:rsidRPr="0030392D" w:rsidRDefault="0030392D" w:rsidP="0030392D">
      <w:pPr>
        <w:rPr>
          <w:rFonts w:cstheme="minorHAnsi"/>
        </w:rPr>
      </w:pPr>
      <w:proofErr w:type="spellStart"/>
      <w:r w:rsidRPr="0030392D">
        <w:rPr>
          <w:rFonts w:cstheme="minorHAnsi"/>
        </w:rPr>
        <w:t>Ansprechpartner:innen</w:t>
      </w:r>
      <w:proofErr w:type="spellEnd"/>
      <w:r w:rsidRPr="0030392D">
        <w:rPr>
          <w:rFonts w:cstheme="minorHAnsi"/>
        </w:rPr>
        <w:t xml:space="preserve"> zum Projekt:</w:t>
      </w:r>
    </w:p>
    <w:p w:rsidR="0030392D" w:rsidRPr="0030392D" w:rsidRDefault="0030392D" w:rsidP="0030392D">
      <w:pPr>
        <w:rPr>
          <w:rFonts w:cstheme="minorHAnsi"/>
        </w:rPr>
      </w:pPr>
      <w:r w:rsidRPr="0030392D">
        <w:rPr>
          <w:rFonts w:cstheme="minorHAnsi"/>
        </w:rPr>
        <w:t xml:space="preserve">Dr. Jasmin Jossin, </w:t>
      </w:r>
      <w:r w:rsidR="00DF1D5D">
        <w:rPr>
          <w:rFonts w:cstheme="minorHAnsi"/>
        </w:rPr>
        <w:t xml:space="preserve">Deutsches Institut für Urbanistik (bis 06/2023), </w:t>
      </w:r>
      <w:r w:rsidRPr="0030392D">
        <w:rPr>
          <w:rFonts w:cstheme="minorHAnsi"/>
        </w:rPr>
        <w:t>Karlsruher Institut für Technologie</w:t>
      </w:r>
      <w:r w:rsidR="00DF1D5D">
        <w:rPr>
          <w:rFonts w:cstheme="minorHAnsi"/>
        </w:rPr>
        <w:t xml:space="preserve"> (seit 07/2023), </w:t>
      </w:r>
      <w:r w:rsidRPr="0030392D">
        <w:rPr>
          <w:rFonts w:cstheme="minorHAnsi"/>
        </w:rPr>
        <w:t>E-Mail: jossin@</w:t>
      </w:r>
      <w:r w:rsidR="00DF1D5D">
        <w:rPr>
          <w:rFonts w:cstheme="minorHAnsi"/>
        </w:rPr>
        <w:t>posteo.de</w:t>
      </w:r>
    </w:p>
    <w:p w:rsidR="0030392D" w:rsidRPr="0030392D" w:rsidRDefault="0030392D" w:rsidP="0030392D">
      <w:pPr>
        <w:rPr>
          <w:rFonts w:cstheme="minorHAnsi"/>
        </w:rPr>
      </w:pPr>
      <w:r w:rsidRPr="0030392D">
        <w:rPr>
          <w:rFonts w:cstheme="minorHAnsi"/>
        </w:rPr>
        <w:t>Dr. Annette Voigt, Universität Kassel, E-Mail: voigt@asl.uni-kassel.de</w:t>
      </w:r>
    </w:p>
    <w:p w:rsidR="0030392D" w:rsidRPr="0030392D" w:rsidRDefault="0030392D" w:rsidP="0030392D">
      <w:pPr>
        <w:rPr>
          <w:rFonts w:cstheme="minorHAnsi"/>
        </w:rPr>
      </w:pPr>
    </w:p>
    <w:p w:rsidR="0091411D" w:rsidRPr="005F4012" w:rsidRDefault="0030392D" w:rsidP="0030392D">
      <w:pPr>
        <w:rPr>
          <w:rFonts w:cstheme="minorHAnsi"/>
        </w:rPr>
      </w:pPr>
      <w:r w:rsidRPr="0030392D">
        <w:rPr>
          <w:rFonts w:cstheme="minorHAnsi"/>
        </w:rPr>
        <w:t>Projektwebsite: www.xtopien.org</w:t>
      </w:r>
    </w:p>
    <w:sectPr w:rsidR="0091411D" w:rsidRPr="005F401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632C9C"/>
    <w:multiLevelType w:val="multilevel"/>
    <w:tmpl w:val="39F49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C8689F"/>
    <w:multiLevelType w:val="multilevel"/>
    <w:tmpl w:val="CF44D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6789621">
    <w:abstractNumId w:val="1"/>
  </w:num>
  <w:num w:numId="2" w16cid:durableId="318271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012"/>
    <w:rsid w:val="0030392D"/>
    <w:rsid w:val="005F4012"/>
    <w:rsid w:val="0091411D"/>
    <w:rsid w:val="00AA27C2"/>
    <w:rsid w:val="00DF1D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FE1DC"/>
  <w15:chartTrackingRefBased/>
  <w15:docId w15:val="{0E5460A2-44BB-47F0-8693-3F36B7B98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5F401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F4012"/>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semiHidden/>
    <w:unhideWhenUsed/>
    <w:rsid w:val="005F401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5F4012"/>
    <w:rPr>
      <w:i/>
      <w:iCs/>
    </w:rPr>
  </w:style>
  <w:style w:type="character" w:styleId="Fett">
    <w:name w:val="Strong"/>
    <w:basedOn w:val="Absatz-Standardschriftart"/>
    <w:uiPriority w:val="22"/>
    <w:qFormat/>
    <w:rsid w:val="005F40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80799">
      <w:bodyDiv w:val="1"/>
      <w:marLeft w:val="0"/>
      <w:marRight w:val="0"/>
      <w:marTop w:val="0"/>
      <w:marBottom w:val="0"/>
      <w:divBdr>
        <w:top w:val="none" w:sz="0" w:space="0" w:color="auto"/>
        <w:left w:val="none" w:sz="0" w:space="0" w:color="auto"/>
        <w:bottom w:val="none" w:sz="0" w:space="0" w:color="auto"/>
        <w:right w:val="none" w:sz="0" w:space="0" w:color="auto"/>
      </w:divBdr>
      <w:divsChild>
        <w:div w:id="617951716">
          <w:marLeft w:val="0"/>
          <w:marRight w:val="0"/>
          <w:marTop w:val="0"/>
          <w:marBottom w:val="0"/>
          <w:divBdr>
            <w:top w:val="none" w:sz="0" w:space="0" w:color="auto"/>
            <w:left w:val="none" w:sz="0" w:space="0" w:color="auto"/>
            <w:bottom w:val="none" w:sz="0" w:space="0" w:color="auto"/>
            <w:right w:val="none" w:sz="0" w:space="0" w:color="auto"/>
          </w:divBdr>
          <w:divsChild>
            <w:div w:id="849762718">
              <w:marLeft w:val="0"/>
              <w:marRight w:val="0"/>
              <w:marTop w:val="0"/>
              <w:marBottom w:val="0"/>
              <w:divBdr>
                <w:top w:val="none" w:sz="0" w:space="0" w:color="auto"/>
                <w:left w:val="none" w:sz="0" w:space="0" w:color="auto"/>
                <w:bottom w:val="none" w:sz="0" w:space="0" w:color="auto"/>
                <w:right w:val="none" w:sz="0" w:space="0" w:color="auto"/>
              </w:divBdr>
            </w:div>
            <w:div w:id="53709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682472">
      <w:bodyDiv w:val="1"/>
      <w:marLeft w:val="0"/>
      <w:marRight w:val="0"/>
      <w:marTop w:val="0"/>
      <w:marBottom w:val="0"/>
      <w:divBdr>
        <w:top w:val="none" w:sz="0" w:space="0" w:color="auto"/>
        <w:left w:val="none" w:sz="0" w:space="0" w:color="auto"/>
        <w:bottom w:val="none" w:sz="0" w:space="0" w:color="auto"/>
        <w:right w:val="none" w:sz="0" w:space="0" w:color="auto"/>
      </w:divBdr>
      <w:divsChild>
        <w:div w:id="1525636813">
          <w:marLeft w:val="0"/>
          <w:marRight w:val="0"/>
          <w:marTop w:val="0"/>
          <w:marBottom w:val="0"/>
          <w:divBdr>
            <w:top w:val="none" w:sz="0" w:space="0" w:color="auto"/>
            <w:left w:val="none" w:sz="0" w:space="0" w:color="auto"/>
            <w:bottom w:val="none" w:sz="0" w:space="0" w:color="auto"/>
            <w:right w:val="none" w:sz="0" w:space="0" w:color="auto"/>
          </w:divBdr>
          <w:divsChild>
            <w:div w:id="858619241">
              <w:marLeft w:val="0"/>
              <w:marRight w:val="0"/>
              <w:marTop w:val="0"/>
              <w:marBottom w:val="0"/>
              <w:divBdr>
                <w:top w:val="none" w:sz="0" w:space="0" w:color="auto"/>
                <w:left w:val="none" w:sz="0" w:space="0" w:color="auto"/>
                <w:bottom w:val="none" w:sz="0" w:space="0" w:color="auto"/>
                <w:right w:val="none" w:sz="0" w:space="0" w:color="auto"/>
              </w:divBdr>
              <w:divsChild>
                <w:div w:id="119526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691</Words>
  <Characters>4354</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Difu</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Klauck</dc:creator>
  <cp:keywords/>
  <dc:description/>
  <cp:lastModifiedBy>Jasmin Jossin</cp:lastModifiedBy>
  <cp:revision>4</cp:revision>
  <dcterms:created xsi:type="dcterms:W3CDTF">2023-11-28T10:04:00Z</dcterms:created>
  <dcterms:modified xsi:type="dcterms:W3CDTF">2023-11-28T10:48:00Z</dcterms:modified>
</cp:coreProperties>
</file>